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Computing and Advanced Technologies Foundation of Extremadura. Extremadura Supercomputing Centre MSCA-PF 2026: Computing and Advanced Technologies Foundation of Extremadura. Extremadura Supercomputing Centre. (COMPUTAEX | Supervisor)</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COMPUTAEX has supported over 250 research projects with public and private partners, contributing to several doctoral theses. It is committed to consolidating its role as a regional leader in artificial intelligence through its own AI research team focused on training, experimentation and applied projects in machine learning, deep learning, natural language processing and edge AI. Key initiatives include the PULSE platform for energy-efficient data centers, federated learning projects, AI for public administration and healthcare, as well as dissemination and training activities.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Center (COMPUTAEX) in Cáceres, part of the Spanish Supercomputing Network. The center operates several supercomputers and provides regional and national services. Research areas include HPC, artificial intelligence, quantum computing, cybersecurity and optimization, with applications in medicine, energy efficiency, cosmology and agriculture. COMPUTAEX is part of the RES-ICTS, distributed across the country, and belongs to the SECTI.</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