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Germplasm Bank and Pasture and Fodder Crops Area research groups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https://opesecti.wn05.thegecocompany.com/wp-content/uploads/2025/06/CICYTEX_Germplasm-Bank_and_Pasture_and_Fodder_Crops_Area_Biodiv_03_02_twostage.pdf</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participated in numerous European projects, including RITECA I &amp; II, PRODEHESA-MONTADO, INNOACE, AGROSMARTCOOP, SUBERVIN, and SUBERNOVA, focused on cross-border research, innovation, and rural development. We also contributed to LIFE PRIORAT+MONTSANT for sustainability in viticulture and COST Action FA1303 on grapevine disease control. These projects highlight our strong commitment to agri-food innovation, sustainability, and cross-regional cooperation.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HORIZON-CL6-2025-01-BIODIV-03 | HORIZON-CL6-2025-01-BIODIV-03: Strengthening taxonomic approaches for biodiversity</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 HORIZON-CL6-2025-01-BIODIV-02-two-stage | HORIZON-CL6-2025-01-BIODIV-02-two-stage: Breeding for resilience: enhancing multi-stress tolerance in crops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