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Computing and Advanced Technologies Foundation of Extremadura (COMPUTAEX). Extremadura Supercomputing Centre</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Javier Corral García holds a PhD in Computer Technologies and a degree in Computer Science, both from the University of Extremadura. Since July 2020, he has been an Associate Lecturer in the Department of Computer Systems Engineering and Telematics at the UEx. Since 2020, he has been the Head of R&amp;D Projects at COMPUTAEX and the Extremadura Supercomputer Centre, a member node of the Spanish Supercomputing Network recognized as a Unique Scientific-Technical Infrastructure by the Ministry of Science.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Centre, located in Caceres (a World Heritage City), which operates an infrastructure consisting of several supercomputers recognized as a unique asset in the Spanish research system. COMPUTAEX operates a modern Data Processing Center equipped with advanced supercomputing infrastructure, including over 3,600 cores and 40,000 CUDA cores, recently expanded with two racks from the MareNostrum 4 supercomputer.</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 Corral García</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javier.corral@computaex.es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