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INTROMAC: Technological Institute of Ornamental Rocks and Construction Materials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Research Institute of the Extremadura Regional Government (Spain). we develop projects with a clearly demonstrative character focused on the transfer of knowledge to society.&lt;/w:t&gt;&lt;w:br/&gt;&lt;w:t xml:space="preserve"&gt;Our capacity in the validation of TRL6 to TRL9 prototypes as well as our experience in the management of the EDEA-CICE building innovation and quality centre in Cáceres (http://www.edeacice.juntaex.es), makes us a strategic partner with the capacity to develop projects aimed at achieving TRL6 or higher not only in the field of construction, but also in other fields.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participates in projects that aims the real-scale implementation of the solutions, methodologies, products, studies or conclusions that are extracted from the research carried out. It allows:&lt;/w:t&gt;&lt;w:br/&gt;&lt;w:t xml:space="preserve"&gt;- Increased circular and climate-neutral practices among citizens and their participation in circular systemic solutions.&lt;/w:t&gt;&lt;w:br/&gt;&lt;w:t xml:space="preserve"&gt;- Implement and demonstrate circular systemic solutions for the deployment of the circular economy in cities, regions or their groupings.&lt;/w:t&gt;&lt;w:br/&gt;&lt;w:t xml:space="preserve"&gt;- Implement circular governance models and support the active participation of all relevant actors in cities, regions or their groupings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José Luis Chanclón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joseluis.chanclon@org.juntaex.es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http://neurona.gobex.es/centros/intromac/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José Luis Chanclón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joseluis.chanclon@org.juntaex.es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http://neurona.gobex.es/centros/intromac/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